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ef7143da61ef700991631e2df915cc19cc51"/>
    <w:p>
      <w:pPr>
        <w:pStyle w:val="Heading3"/>
      </w:pPr>
      <w:r>
        <w:t xml:space="preserve">Более 40 тысяч семей в Москве и области получают ежемесячные выплаты из средств материнского капитала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Ежемесячную выплату из средств материнского капитала получают более 40 тысяч семей Московского региона. В этом году она стала больше, поскольку ее размер зависит от прожиточного минимума на ребенка в регионе. С января он составляет:</w:t>
      </w:r>
    </w:p>
    <w:p>
      <w:pPr>
        <w:pStyle w:val="BodyText"/>
      </w:pPr>
      <w:r>
        <w:t xml:space="preserve">в Москве — 19 586 рублей;</w:t>
      </w:r>
    </w:p>
    <w:p>
      <w:pPr>
        <w:pStyle w:val="BodyText"/>
      </w:pPr>
      <w:r>
        <w:t xml:space="preserve">в Московской области — 17 747 рублей.</w:t>
      </w:r>
    </w:p>
    <w:p>
      <w:pPr>
        <w:pStyle w:val="BodyText"/>
      </w:pPr>
      <w:r>
        <w:t xml:space="preserve">Обращаем внимание, что для назначения данной выплаты среднедушевой доход семьи не должен превышать двукратную величину регионального прожиточного минимума на душу населения (в Москве — 45 324 рубля; в Московской области — 36 592 рубля).</w:t>
      </w:r>
    </w:p>
    <w:p>
      <w:pPr>
        <w:pStyle w:val="BodyText"/>
      </w:pPr>
      <w:r>
        <w:t xml:space="preserve">Выплату можно получить на каждого ребенка до 3 лет, если средний доход семьи не превышает двух прожиточных минимумов. Имущественная обеспеченность родителей при этом не учитывается.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http://filevsky-park.mos.ru/presscenter/news-on-main/detail/12387825.html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87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87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2024-08-07T09:21:36Z</dcterms:created>
  <dcterms:modified xsi:type="dcterms:W3CDTF">2024-08-07T09:21:36Z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