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0120ef549265b60dfdaa34ff5a50fd293f177"/>
    <w:p>
      <w:pPr>
        <w:pStyle w:val="Heading3"/>
      </w:pPr>
      <w:r>
        <w:t xml:space="preserve">Прокуратурой Западного административного округа г. Москвы утверждено обвинительное заключение в отношении участников организованной преступной группы, осуществлявшей незаконное обналичивание денежных средств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t xml:space="preserve">Прокуратурой округа утверждено обвинительное заключение и направлено в суд уголовное дело в отношении участников организованной преступной группы, осуществлявшей более 3 лет незаконную банковскую деятельность, в результате которой извлечен доход в особо крупном размере.</w:t>
      </w:r>
    </w:p>
    <w:p>
      <w:pPr>
        <w:pStyle w:val="BodyText"/>
      </w:pPr>
      <w:r>
        <w:t xml:space="preserve">В ходе совершения преступления соучастниками использовалось множество фирм однодневок, преступная деятельность которых правоохранительными органами пресечена.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http://filevsky-park.mos.ru/presscenter/news-on-main/detail/12448753.html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48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48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2024-07-03T23:49:39Z</dcterms:created>
  <dcterms:modified xsi:type="dcterms:W3CDTF">2024-07-03T23:49:39Z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