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cc1ba7fef1bc4de2b0b9a20fb03fec3d7397"/>
    <w:p>
      <w:pPr>
        <w:pStyle w:val="Heading3"/>
      </w:pPr>
      <w:r>
        <w:t xml:space="preserve">Родители 240,5 тысяч детей в Московской области получают единое пособие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rPr>
          <w:bCs/>
          <w:b/>
        </w:rPr>
        <w:t xml:space="preserve">На сегодняшний день в Московской области единое пособие получают 123,7 тысячи родителей на 240,5 тысяч детей. Также выплата установлена 5,8 тысячам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рублям). При этом для беременных женщин он составляет 50, 75 или 100% регионального прожиточного минимума для трудоспособного населения (9 971,50, 14 957,25 и 19 943 рублям).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службе.</w:t>
      </w:r>
    </w:p>
    <w:p>
      <w:pPr>
        <w:pStyle w:val="BodyText"/>
      </w:pPr>
      <w:r>
        <w:t xml:space="preserve">Отделения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http://filevsky-park.mos.ru/presscenter/news-on-main/detail/12472978.html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2024-07-10T20:00:10Z</dcterms:created>
  <dcterms:modified xsi:type="dcterms:W3CDTF">2024-07-10T20:00:10Z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