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5ceb34325fbc44177b5bbcc55021699fbc4fd"/>
    <w:p>
      <w:pPr>
        <w:pStyle w:val="Heading3"/>
      </w:pPr>
      <w:r>
        <w:t xml:space="preserve">Сотрудники столичного спецподразделения Росгвардии отработали профессиональные навыки в полевых условиях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rPr>
          <w:bCs/>
          <w:b/>
        </w:rPr>
        <w:t xml:space="preserve">На одном из полигонов Подмосковья сотрудники СОБР Главного управления Росгвардии по городу Москве провели тренировочные занятия по тактико-специальной подготовке.</w:t>
      </w:r>
    </w:p>
    <w:p>
      <w:pPr>
        <w:pStyle w:val="BodyText"/>
      </w:pPr>
      <w:r>
        <w:t xml:space="preserve">Учения включали в себя практические стрельбы из различного вида вооружения, метание гранат, работу щитовой группы, а также совместное обнаружение и нейтрализацию условного «противника». В ходе тренировок также оттачивались навыки тактико-специальной подготовки, включая создание скрытых позиций и передвижение по территории на бронетехнике.</w:t>
      </w:r>
    </w:p>
    <w:p>
      <w:pPr>
        <w:pStyle w:val="BodyText"/>
      </w:pPr>
      <w:r>
        <w:t xml:space="preserve">Кроме того спецназовцы отработали навыки маскировки и ориентирования на местности.</w:t>
      </w:r>
    </w:p>
    <w:p>
      <w:pPr>
        <w:pStyle w:val="BodyText"/>
      </w:pPr>
      <w:r>
        <w:t xml:space="preserve">Обучение проходило с учетом реальных сценариев, возникающих в условиях динамично меняющейся оперативной обстановки. Проведение тактико-специальных тренировок является неотъемлемой частью постоянной подготовки спецназа Росгвардии, направленной на поддержание высокого уровня боевой готовности.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http://filevsky-park.mos.ru/presscenter/news-on-main/detail/12613876.html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13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13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2025-03-29T16:25:45Z</dcterms:created>
  <dcterms:modified xsi:type="dcterms:W3CDTF">2025-03-29T16:25:45Z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