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b9952ba9f76fe1cd9bf1fb10c00756bd98d2"/>
    <w:p>
      <w:pPr>
        <w:pStyle w:val="Heading3"/>
      </w:pPr>
      <w:r>
        <w:t xml:space="preserve">Росгвардия обеспечила безопасность в День народного единства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bCs/>
          <w:b/>
        </w:rPr>
        <w:t xml:space="preserve">Общественную безопасность во время проведения праздничных мероприятий в День народного единства обеспечили сотрудники подразделений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Традиционно в этот день прошло множество праздничных мероприятий в которых были задействованы такие площадки, как Поклонная гора, ВДНХ, парки и скверы Москвы.</w:t>
      </w:r>
    </w:p>
    <w:p>
      <w:pPr>
        <w:pStyle w:val="BodyText"/>
      </w:pPr>
      <w:r>
        <w:t xml:space="preserve">В местах проведения торжеств был реализован комплекс соответствующих мер в целях обеспечения правопорядка и безопасности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http://filevsky-park.mos.ru/presscenter/news-on-main/detail/12646503.html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46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46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2024-11-16T06:32:21Z</dcterms:created>
  <dcterms:modified xsi:type="dcterms:W3CDTF">2024-11-16T06:32:21Z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