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474e55861c9a5ce2410e2b230a8877788d937"/>
    <w:p>
      <w:pPr>
        <w:pStyle w:val="Heading3"/>
      </w:pPr>
      <w:r>
        <w:t xml:space="preserve">Подразделения государственного контроля и лицензионно-разрешительной работы Росгвардии отмечают 56-летие со дня образования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rPr>
          <w:iCs/>
          <w:i/>
        </w:rPr>
        <w:t xml:space="preserve">Главное управление Росгвардии по городу Москве отмечает 56-ю годовщину со дня образования подразделений государственного контроля и лицензионно-разрешительной работы.</w:t>
      </w:r>
    </w:p>
    <w:p>
      <w:pPr>
        <w:pStyle w:val="BodyText"/>
      </w:pPr>
      <w:r>
        <w:t xml:space="preserve">«Основная задача подразделений государственного контроля и лицензионно-разрешительной работы заключается в контроле за соблюдением законодательства в сфере оборота оружия, частной охранной и частной детективной деятельности. Сотрудники службы проводят масштабную профилактическую работу по предотвращению правонарушений, что способствует поддержанию правопорядка в столице на высоком уровне», – отметил заместитель начальника Главного управления Росгвардии по городу Москве начальник центра лицензионно-разрешительной работы полковник полиции Александр Самойлов.</w:t>
      </w:r>
    </w:p>
    <w:p>
      <w:pPr>
        <w:pStyle w:val="BodyText"/>
      </w:pPr>
      <w:r>
        <w:t xml:space="preserve">С начала года столичными росгвардейцами проведено около 3 тысяч проверок условий хранения оружия, в ходе которых выявлено более 700 нарушений, что в значительной степени способствует снижению риска неправомерного использования оружия.</w:t>
      </w:r>
    </w:p>
    <w:p>
      <w:pPr>
        <w:pStyle w:val="BodyText"/>
      </w:pPr>
      <w:r>
        <w:t xml:space="preserve">Также важным направлением деятельности ЛРР является лицензирование и контроль за частными охранными организациями, которые вносят существенный вклад в обеспечение безопасности объектов различной формы собственности и поддержание правопорядка в городе.</w:t>
      </w:r>
    </w:p>
    <w:p>
      <w:pPr>
        <w:pStyle w:val="BodyText"/>
      </w:pPr>
      <w:r>
        <w:t xml:space="preserve">Особое внимание уделяется повышению качества и доступности государственных услуг в сфере оборота оружия и охранной деятельности для граждан и организаций.</w:t>
      </w:r>
    </w:p>
    <w:p>
      <w:pPr>
        <w:pStyle w:val="BodyText"/>
      </w:pPr>
      <w:r>
        <w:t xml:space="preserve">С начала 2025 года было рассмотрено свыше 8 тысяч заявлений о предоставлении государственных услуг, большая часть из которых поступила в электронном виде.</w:t>
      </w:r>
    </w:p>
    <w:p>
      <w:pPr>
        <w:pStyle w:val="BodyText"/>
      </w:pPr>
      <w:r>
        <w:t xml:space="preserve">Наряду с лицензионно-разрешительной работой, важную роль в обеспечении безопасности Москвы играют подразделения государственного контроля столичного главка Росгвардии. Отдел организации инспектирования подразделений охраны юридических лиц с особыми уставными задачами и подразделений ведомственной охраны осуществляет федеральный государственный контроль (надзор) за деятельностью этих подразделений. Данная работа направлена на поддержание высокого уровня готовности и эффективности охранных структур, обеспечивающих безопасность различных объектов и организаций.</w:t>
      </w:r>
    </w:p>
    <w:p>
      <w:pPr>
        <w:pStyle w:val="BodyText"/>
      </w:pPr>
      <w:r>
        <w:t xml:space="preserve">Не менее важным является Отдел контроля за обеспечением безопасности объектов топливно-энергетического комплекса, осуществляющий федеральный государственный контроль (надзор) за обеспечением безопасности категорированных объектов топливно-энергетического комплекса, предотвращая угрозы и обеспечивая стабильное функционирование критически важных объектов инфраструктуры столицы."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http://filevsky-park.mos.ru/presscenter/news-on-main/detail/12807636.html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07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07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2025-02-13T15:28:37Z</dcterms:created>
  <dcterms:modified xsi:type="dcterms:W3CDTF">2025-02-13T15:28:37Z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