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93a8773161758a0801baca820fe4a0210be902"/>
    <w:p>
      <w:pPr>
        <w:pStyle w:val="Heading3"/>
      </w:pPr>
      <w:r>
        <w:t xml:space="preserve">Штрафы за продажу детям вейпов и других видов табака повысили до 2 млн. руб.</w:t>
      </w:r>
    </w:p>
    <w:p>
      <w:pPr>
        <w:pStyle w:val="FirstParagraph"/>
      </w:pPr>
      <w:r>
        <w:t xml:space="preserve">17.02.2025</w:t>
      </w:r>
    </w:p>
    <w:p>
      <w:pPr>
        <w:pStyle w:val="BodyText"/>
      </w:pPr>
      <w:r>
        <w:t xml:space="preserve">Ответственность за торговлю вейпами, сигаретами, насваем, снюсом и другой никотинсодержащей продукцией ужесточили. Теперь максимальное наказание для юридических лиц составит 2 млн руб., а для граждан – 300 тыс. руб. Эти меры направлены на защиту здоровья несовершеннолетних и сокращение нелегального оборота табачной продукции. Они предусмотрены подписанным Президентом РФ</w:t>
      </w:r>
      <w:r>
        <w:t xml:space="preserve"> </w:t>
      </w:r>
      <w:hyperlink r:id="rId20">
        <w:r>
          <w:rPr>
            <w:rStyle w:val="Hyperlink"/>
          </w:rPr>
          <w:t xml:space="preserve">Федеральным законом от 3 февраля 2025 г. № 1-ФЗ</w:t>
        </w:r>
      </w:hyperlink>
      <w:r>
        <w:t xml:space="preserve">.</w:t>
      </w:r>
    </w:p>
    <w:p>
      <w:pPr>
        <w:pStyle w:val="BodyText"/>
      </w:pPr>
      <w:r>
        <w:t xml:space="preserve">Поправки внесены в</w:t>
      </w:r>
      <w:r>
        <w:t xml:space="preserve"> </w:t>
      </w:r>
      <w:hyperlink r:id="rId21">
        <w:r>
          <w:rPr>
            <w:rStyle w:val="Hyperlink"/>
          </w:rPr>
          <w:t xml:space="preserve">ст. 14.53 КоАП</w:t>
        </w:r>
      </w:hyperlink>
      <w:r>
        <w:t xml:space="preserve">. Они касаются нарушений в сфере торговли табачной продукцией, а также кальянами и устройствами для потребления никотина. Размер штрафов увеличен следующим образом: для граждан – с 40-60 тыс. до 200-300 тыс. руб.; для должностных лиц – со 150-300 тыс. до 500-700 тыс. руб.; для юридических лиц – с 400-600 тыс. до 1,5-2 млн руб.</w:t>
      </w:r>
    </w:p>
    <w:p>
      <w:pPr>
        <w:pStyle w:val="BodyText"/>
      </w:pPr>
      <w:r>
        <w:t xml:space="preserve">Помимо этого, законопроект предусматривает усиление ответственности за другие виды нарушений в области продажи табачной и никотиносодержащей продукции. Например, за несоблюдение установленных правил и ограничений при розничной торговле такими товарами (за исключением случаев, связанных с маркировкой продукции). Штрафы вырастут: для граждан – с 2-3 тыс. до 10-20 тыс. руб.; для должностных лиц – с 5-10 тыс. до 30-50 тыс. руб.; для юридических лиц – с 30-50 тыс. до 90-120 тыс. руб.</w:t>
      </w:r>
    </w:p>
    <w:p>
      <w:pPr>
        <w:pStyle w:val="BodyText"/>
      </w:pPr>
      <w:r>
        <w:t xml:space="preserve">За повторное нарушение вводятся еще более строгие наказания: для граждан – от 20 тыс. до 30 тыс. руб.; для граждан – от 50 тыс. до 90 тыс. руб.; для граждан – от 120 тыс. до 150 тыс. руб.</w:t>
      </w:r>
    </w:p>
    <w:p>
      <w:pPr>
        <w:pStyle w:val="BodyText"/>
      </w:pPr>
      <w:r>
        <w:t xml:space="preserve">Также ужесточились санкции за продажу насвая, пищевой никотиносодержащей продукции и снюсов. Гражданам придется заплатить штраф от 150 тыс. до 200 тыс. руб. (ранее было 15-20 тыс. руб.), должностным лицам – от 300 тыс. до 500 тыс. руб. (вместо прежних 30-50 тыс. руб.), а юридическим лицам – от 1 млн до 1,5 млн руб. (раньше было от 100 тыс. до 150 тыс. руб.).</w:t>
      </w:r>
    </w:p>
    <w:p>
      <w:pPr>
        <w:pStyle w:val="BodyText"/>
      </w:pPr>
      <w:r>
        <w:t xml:space="preserve">Причиной для нововведений послужил рост доступности вейпов для молодежи. Согласно пояснительной записке к законопроекту, на основании которого принят рассматриваемый закон, в 2024 году 44,7% подростков в возрасте 16-17 лет признались, что используют электронные сигареты, а 72% несовершеннолетних не сталкивались с отказом при их покупке. По данным Роспотребнадзора, количество точек розничной торговли никотинсодержащей продукцией резко увеличилось.</w:t>
      </w:r>
    </w:p>
    <w:p>
      <w:pPr>
        <w:pStyle w:val="BodyText"/>
      </w:pPr>
      <w:r>
        <w:t xml:space="preserve">Закон также затронул вопросы маркировки табачной и алкогольной продукции – внесены изменения в</w:t>
      </w:r>
      <w:r>
        <w:t xml:space="preserve"> </w:t>
      </w:r>
      <w:hyperlink r:id="rId22">
        <w:r>
          <w:rPr>
            <w:rStyle w:val="Hyperlink"/>
          </w:rPr>
          <w:t xml:space="preserve">ст. 15.12 КоАП РФ</w:t>
        </w:r>
      </w:hyperlink>
      <w:r>
        <w:t xml:space="preserve">. За производство и реализацию немаркированного или неправильно маркированного табака, никотиносодержащих продуктов и алкоголя штрафы для должностных лиц возрастут с 30-50 тыс. до 300-500 тыс. руб., а для юридических лиц – с 200-300 тыс. до 700 ты. – 1 млн руб.</w:t>
      </w:r>
    </w:p>
    <w:p>
      <w:pPr>
        <w:pStyle w:val="BodyText"/>
      </w:pPr>
      <w:r>
        <w:t xml:space="preserve">Оборот немаркированной алкогольной и табачной продукции повлечет наложение штрафов в сумме от 100 тыс. до 150 тыс. руб. для граждан (было от 10 тыс. до 20 тыс. руб.), от 300 тыс. до 500 тыс. руб. для должностных лиц (прежние суммы составляли от 30 тыс. до 50 тыс. руб.) и от 1 млн до 1,5 млн руб. для юридических лиц (ранее штрафы варьировались от 300 тыс. до 500 тыс. руб.).</w:t>
      </w:r>
    </w:p>
    <w:p>
      <w:pPr>
        <w:pStyle w:val="BodyText"/>
      </w:pPr>
      <w:r>
        <w:t xml:space="preserve">При этом во всех указанных случаях сохранена обязательная мера в виде конфискации предметов правонарушения.</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http://filevsky-park.mos.ru/presscenter/news-on-main/detail/12810976.html</w:t>
        </w:r>
      </w:hyperlink>
    </w:p>
    <w:p>
      <w:pPr>
        <w:pStyle w:val="BodyText"/>
      </w:pPr>
      <w:hyperlink r:id="rId24">
        <w:r>
          <w:rPr>
            <w:rStyle w:val="Hyperlink"/>
          </w:rPr>
          <w:t xml:space="preserve">Управа района Филевский парк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filevsky-park.mos.ru" TargetMode="External" /><Relationship Type="http://schemas.openxmlformats.org/officeDocument/2006/relationships/hyperlink" Id="rId23" Target="http://filevsky-park.mos.ru/presscenter/news-on-main/detail/12810976.html" TargetMode="External" /><Relationship Type="http://schemas.openxmlformats.org/officeDocument/2006/relationships/hyperlink" Id="rId21" Target="https://base.garant.ru/12125267/1700e9c52de48356c8110aaa75a1fef3/#block_14053" TargetMode="External" /><Relationship Type="http://schemas.openxmlformats.org/officeDocument/2006/relationships/hyperlink" Id="rId22" Target="https://base.garant.ru/12125267/7b8e1cd613832736ca0a22fade07f0e6/#block_1512" TargetMode="External" /><Relationship Type="http://schemas.openxmlformats.org/officeDocument/2006/relationships/hyperlink" Id="rId20" Target="https://www.garant.ru/hotlaw/federal/1792680/" TargetMode="External" /></Relationships>
</file>

<file path=word/_rels/footnotes.xml.rels><?xml version="1.0" encoding="UTF-8"?><Relationships xmlns="http://schemas.openxmlformats.org/package/2006/relationships"><Relationship Type="http://schemas.openxmlformats.org/officeDocument/2006/relationships/hyperlink" Id="rId24" Target="http://filevsky-park.mos.ru" TargetMode="External" /><Relationship Type="http://schemas.openxmlformats.org/officeDocument/2006/relationships/hyperlink" Id="rId23" Target="http://filevsky-park.mos.ru/presscenter/news-on-main/detail/12810976.html" TargetMode="External" /><Relationship Type="http://schemas.openxmlformats.org/officeDocument/2006/relationships/hyperlink" Id="rId21" Target="https://base.garant.ru/12125267/1700e9c52de48356c8110aaa75a1fef3/#block_14053" TargetMode="External" /><Relationship Type="http://schemas.openxmlformats.org/officeDocument/2006/relationships/hyperlink" Id="rId22" Target="https://base.garant.ru/12125267/7b8e1cd613832736ca0a22fade07f0e6/#block_1512" TargetMode="External" /><Relationship Type="http://schemas.openxmlformats.org/officeDocument/2006/relationships/hyperlink" Id="rId20" Target="https://www.garant.ru/hotlaw/federal/17926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2025-02-17T10:09:23Z</dcterms:created>
  <dcterms:modified xsi:type="dcterms:W3CDTF">2025-02-17T10:09:23Z</dcterms:modified>
</cp:coreProperties>
</file>

<file path=docProps/custom.xml><?xml version="1.0" encoding="utf-8"?>
<Properties xmlns="http://schemas.openxmlformats.org/officeDocument/2006/custom-properties" xmlns:vt="http://schemas.openxmlformats.org/officeDocument/2006/docPropsVTypes"/>
</file>