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2fd5d79c703d3cb48ea4e5ec7d2ea463bd4b"/>
    <w:p>
      <w:pPr>
        <w:pStyle w:val="Heading3"/>
      </w:pPr>
      <w:r>
        <w:t xml:space="preserve">Свыше 15 тысяч выездов по сигналу «тревога» совершили столичные росгвардейцы в феврале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5 тысяч проверок обеспечения сохранности оружия физических и юридических лиц. Составлено около 800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около 1000 единиц оружия и боеприпасов.</w:t>
      </w:r>
    </w:p>
    <w:p>
      <w:pPr>
        <w:pStyle w:val="BodyText"/>
      </w:pPr>
      <w:r>
        <w:t xml:space="preserve">Подразделениями специального назначения выполнено более 150 задач по силовому сопровождению специальных мероприятий.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7 тысяч граждан.</w:t>
      </w:r>
    </w:p>
    <w:p>
      <w:pPr>
        <w:pStyle w:val="BodyText"/>
      </w:pPr>
      <w:r>
        <w:t xml:space="preserve">Гражданам и юридическим лицам за минувший месяц оказано более 14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около 1000 мероприятий за минувший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http://filevsky-park.mos.ru/presscenter/news-on-main/detail/12837099.html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37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37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2025-04-12T15:04:26Z</dcterms:created>
  <dcterms:modified xsi:type="dcterms:W3CDTF">2025-04-12T15:04:26Z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