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aa848b80b7312ef314c82eb8f7e698c8b282"/>
    <w:p>
      <w:pPr>
        <w:pStyle w:val="Heading3"/>
      </w:pPr>
      <w:r>
        <w:t xml:space="preserve">Столичные росгвардейцы провели занятия по противодействию беспилотным воздушным судам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На одном из полигонов сотрудники вневедомственной охраны Главного управления Росгвардии по Москве отработали навыки противодействия беспилотным летательным аппаратам.</w:t>
      </w:r>
    </w:p>
    <w:p>
      <w:pPr>
        <w:pStyle w:val="BodyText"/>
      </w:pPr>
      <w:r>
        <w:t xml:space="preserve">В ходе учений особое внимание уделялось совершенствованию огневой подготовки – как индивидуальной, так и групповой – и освоению современных методов борьбы с дронами. Ключевым элементом стало тестирование новейших систем радиоэлектронного подавления в условиях ограниченной видимости и в ночное время. Росгвардейцы не только совершенствовали практические навыки стрельбы по дронам, но и углубляли теоретические знания, изучая основные типы БПЛА, их тактико-технические характеристики, а также принципы работы антидронового оборудования и систем радиоэлектронной борьбы.</w:t>
      </w:r>
    </w:p>
    <w:p>
      <w:pPr>
        <w:pStyle w:val="BodyText"/>
      </w:pPr>
      <w:r>
        <w:t xml:space="preserve">По замечанию начальника отдела по боевой и профессиональной подготовке Управления вневедомственной охраны ГУ Росгвардии по г. Москве подполковника полиции Алексея Горячева, беспилотные летательные аппараты – это уже не просто технологический тренд, а реальная угроза, требующая освоения новых навыков и подходов.</w:t>
      </w:r>
    </w:p>
    <w:p>
      <w:pPr>
        <w:pStyle w:val="BodyText"/>
      </w:pPr>
      <w:r>
        <w:t xml:space="preserve">После завершения активной фазы учений был проведен углубленный анализ действий личного состава и эффективности применяемых средств противодействия.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http://filevsky-park.mos.ru/presscenter/news-on-main/detail/12841115.html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1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1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2025-03-22T17:07:31Z</dcterms:created>
  <dcterms:modified xsi:type="dcterms:W3CDTF">2025-03-22T17:07:31Z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