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c2da8f0f2193a4e0a1f9065abd522e07f2dc0"/>
    <w:p>
      <w:pPr>
        <w:pStyle w:val="Heading3"/>
      </w:pPr>
      <w:r>
        <w:t xml:space="preserve">В поликлиниках округа прокуратурой Западного административного округа г. Москвы выявлены нарушения закона</w:t>
      </w:r>
    </w:p>
    <w:p>
      <w:pPr>
        <w:pStyle w:val="FirstParagraph"/>
      </w:pPr>
      <w:r>
        <w:t xml:space="preserve">02.04.2025</w:t>
      </w:r>
    </w:p>
    <w:p>
      <w:pPr>
        <w:pStyle w:val="BodyText"/>
      </w:pPr>
      <w:r>
        <w:t xml:space="preserve">Прокуратурой округа проведена проверка соблюдения требований законодательства о безопасном обращении с отходами должностными лицами ГБУЗ г. Москвы «Городская поликлиника № 209 ДЗМ» (далее – Учреждение) по адресу: г. Москва, ул. Веерная, д. 34, в ходе которой выявлены нарушения ст. 11 Федерального закона Российской Федерации от 30.03.1999 № 52-ФЗ «О санитарно-эпидемиологическом благополучии населения», ч. 3 ст. 49 Федерального закона от 21.11.2011 № 323-ФЗ «Об основах охраны здоровья граждан в Российской Федерации» и требований СанПиН 2.1.3684-21, утвержденных Постановлением Главного государственного санитарного врача РФ от 28.01.2021 № 3 «Об утверждении санитарных правил и норм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>
      <w:pPr>
        <w:pStyle w:val="BodyText"/>
      </w:pPr>
      <w:r>
        <w:t xml:space="preserve">Так, в кабинете вакцинопрофилактики отсутствует назначение в маркировке на емкости для сбора острых медицинских отходов класса Б; в помещении временного хранения отходов отсутствуют средства индивидуальной защиты (перчатки); в кабинете забора крови не осуществляется полное обеззараживание игл: иглы погружены в раствор в колпачках.</w:t>
      </w:r>
    </w:p>
    <w:p>
      <w:pPr>
        <w:pStyle w:val="BodyText"/>
      </w:pPr>
      <w:r>
        <w:t xml:space="preserve">Таким образом, должностными лицами ГБУЗ г. Москвы «Городская поликлиника № 209 ДЗМ» не обеспечен надлежащий контроль за соблюдением природоохранного законодательства, в том числе законодательства об отходах производства и потребления.</w:t>
      </w:r>
    </w:p>
    <w:p>
      <w:pPr>
        <w:pStyle w:val="BodyText"/>
      </w:pPr>
      <w:r>
        <w:t xml:space="preserve">Учитывая изложенное, в Учреждение внесено представление об устранении нарушений федерального законодательства от 27.12.2024, которое рассмотрено и удовлетворено, 2 должностных лица привлеченык дисциплинарной ответственности, в отношении ответственного должностного лица составлено постановление о возбуждении дела об административном правонарушении, предусмотренном ч. 1 ст. 6.35 КоАП РФ, по результатам рассмотрения которого 22.01.2025 назначен административный штраф в размере 30 000 руб.</w:t>
      </w:r>
    </w:p>
    <w:p>
      <w:pPr>
        <w:pStyle w:val="BodyText"/>
      </w:pPr>
      <w:r>
        <w:t xml:space="preserve">Аналогичные меры прокурорского реагирования приняты в отношении ГБУЗ г. Москвы «Детская городская поликлиника № 30 ДЗМ», ГБУЗ г. Москвы «Детская городская поликлиника № 131 ДЗМ», ГБУЗ г. Москвы «Городская поликлиника № 212 ДЗМ» и ГБУЗ г. Москвы «Городская поликлиника № 8 ДЗМ».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http://filevsky-park.mos.ru/presscenter/news-on-main/detail/12891243.html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91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91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2025-07-16T15:23:18Z</dcterms:created>
  <dcterms:modified xsi:type="dcterms:W3CDTF">2025-07-16T15:23:18Z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