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e8e0995ac49e1897f1e719e010b82d071026"/>
    <w:p>
      <w:pPr>
        <w:pStyle w:val="Heading3"/>
      </w:pPr>
      <w:r>
        <w:t xml:space="preserve">Прокуратурой округа проведены проверки исполнения законодательства в сфере закупок товаров, работ, услуг для обеспечения государственных нужд администрациями муниципальных округов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Проверкой выявлены нарушения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превышения годового объема малых закупок.</w:t>
      </w:r>
    </w:p>
    <w:p>
      <w:pPr>
        <w:pStyle w:val="BodyText"/>
      </w:pPr>
      <w:r>
        <w:t xml:space="preserve">Законодательством установлено, что закупки малого объема - это закупки у единственного поставщика по п. п. 4 и 5 ч. 1 ст. 93 Закона № 44-ФЗ. В обоих случаях предельная цена одного контракта - 600 тыс. руб.</w:t>
      </w:r>
    </w:p>
    <w:p>
      <w:pPr>
        <w:pStyle w:val="BodyText"/>
      </w:pPr>
      <w:r>
        <w:t xml:space="preserve">Согласно письму Минэкономразвития России от 29.03.2017 № Д28и-1353 осуществление закупки у единственного поставщика (подрядчика, исполнителя) на основании норм ст. 93 Закона № 44-ФЗ носит исключительный характер и происходит в случаях отсутствия конкурентного рынка, невозможности либо нецелесообразности применения конкурентных способов определения поставщика (подрядчика, исполнителя) для удовлетворения нужд заказчика.</w:t>
      </w:r>
    </w:p>
    <w:p>
      <w:pPr>
        <w:pStyle w:val="BodyText"/>
      </w:pPr>
      <w:r>
        <w:t xml:space="preserve">Годовой объем закупок, которые заказчик вправе осуществить у единственного поставщика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рублей.</w:t>
      </w:r>
    </w:p>
    <w:p>
      <w:pPr>
        <w:pStyle w:val="BodyText"/>
      </w:pPr>
      <w:r>
        <w:t xml:space="preserve">Проверка показала, что в нарушение указанных требований закона рядом администраций муниципальных округов поднадзорных районов превышен установленный лимит 2 млн. рублей годового объема закупок, осуществленных на сумму, не превышающую 600 тыс. рублей.</w:t>
      </w:r>
    </w:p>
    <w:p>
      <w:pPr>
        <w:pStyle w:val="BodyText"/>
      </w:pPr>
      <w:r>
        <w:t xml:space="preserve">Указанные факты являются недопустимыми и могут привести к необоснованному ограничению конкуренции, чем нарушаются права субъектов предпринимательской деятельности.</w:t>
      </w:r>
    </w:p>
    <w:p>
      <w:pPr>
        <w:pStyle w:val="BodyText"/>
      </w:pPr>
      <w:r>
        <w:t xml:space="preserve">По результатам проверки руководителям допустивших нарушения организаций внесены представления, которые рассмотрены и удовлетворены, ответственные должностные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http://filevsky-park.mos.ru/presscenter/news-on-main/detail/13002694.html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02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02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2025-06-04T11:59:13Z</dcterms:created>
  <dcterms:modified xsi:type="dcterms:W3CDTF">2025-06-04T11:59:13Z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