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может-запретить-алкоэнергетики"/>
    <w:p>
      <w:pPr>
        <w:pStyle w:val="Heading3"/>
      </w:pPr>
      <w:r>
        <w:t xml:space="preserve">Москва может запретить алкоэнергетики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Пьют алкоэнергетики в основном подростки и молодые люди - таковы данные маркетологов. Ущерб для здоровья от этих напитков огромен - психоз, повышение давления, развитие слабоумия - так утверждают врачи. В общем, причин для запрета хватает. Кстати, в ряде субъектов Российской Федерации, например, в Краснодарском крае, Чеченской республике, Ростовской области, розничная продажа слабоалкогольных энергетических напитков уже запрещена. Вполне вероятно, скоро к ним присоединится и столица.</w:t>
      </w:r>
    </w:p>
    <w:p>
      <w:pPr>
        <w:pStyle w:val="BodyText"/>
      </w:pPr>
      <w:r>
        <w:t xml:space="preserve">Между прочим, судьба алкоэнергетиков стала первым вопросом, который вынесли на общегородское электронное голосование именно депутаты Мосгордумы.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http://filevsky-park.mos.ru/presscenter/news/detail/1577467.html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7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7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2023-09-27T08:42:04Z</dcterms:created>
  <dcterms:modified xsi:type="dcterms:W3CDTF">2023-09-27T08:42:04Z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