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b7bf09aa9a376f89b9f4ea9f24d1acab36d26"/>
    <w:p>
      <w:pPr>
        <w:pStyle w:val="Heading3"/>
      </w:pPr>
      <w:r>
        <w:t xml:space="preserve">В каждом голосовании «Активного гражданина» участвует более 250 тысяч москвичей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drawing>
          <wp:inline>
            <wp:extent cx="2011680" cy="1371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0da/zamestitel-mera-moskvy-_-rukovoditel-apparata-mera-i-pravitelstva-moskvy-a.rakova-podvela-itogi-pervogo-goda-raboty-proekta-gorodskikh-elektronnykh-referendumov-_aktivnyy-grazhdanin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Столичные власти провели 580 опросов жителей Москвы за время работы проекта «Активный гражданин»</w:t>
      </w:r>
    </w:p>
    <w:p>
      <w:pPr>
        <w:pStyle w:val="BodyText"/>
      </w:pPr>
      <w:r>
        <w:t xml:space="preserve">"По ним уже принято свыше 250 управленческих решений», - сообщила руководитель аппарата мэра и правительства Москвы Анастасия Ракова. В частности, по результатам голосования в Москве были созданы 25 народных парков, озеленено почти 1 тыс. дворов в рамках программы «Миллион деревьев», запрещена продажа алкоэнергетиков, введено девять новых автобусных маршрутов, организовано 225 км лыжных трасс и 10 км велодорожек, введены видеонаблюдение в детских садах, SMS-информирование и предварительная запись в центрах госуслуг «Мои документы». "Важно, что помимо голосований по общегородским вопросам, "Активный гражданин" позволяет проводить в Москве локальные голосования, в которых участвуют либо жители конкретного района и даже двора, либо представители определенной социальной группы,- считает Анастасия Ракова.</w:t>
      </w:r>
    </w:p>
    <w:p>
      <w:pPr>
        <w:pStyle w:val="BodyText"/>
      </w:pPr>
      <w:r>
        <w:t xml:space="preserve">«В данном случае неважно, что проголосовало 10, 100 или 1000 человек. Важно, что именно эти люди прямо заинтересованы в вопросе, который вынесен на голосование", - отметила Анастасия Ракова. В каждом опросе, который проходит в рамках проекта «Активный гражданин», участвуют около 250-300 тыс. жителей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http://filevsky-park.mos.ru/presscenter/news/detail/1869546.html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69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69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2025-08-01T17:51:17Z</dcterms:created>
  <dcterms:modified xsi:type="dcterms:W3CDTF">2025-08-01T17:51:17Z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