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e15d83a20a689c7e83d5b805f4cbd2995cb2a"/>
    <w:p>
      <w:pPr>
        <w:pStyle w:val="Heading3"/>
      </w:pPr>
      <w:r>
        <w:t xml:space="preserve">«Активный гражданин» получил международную премию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drawing>
          <wp:inline>
            <wp:extent cx="5334000" cy="88188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03c/proekt-aktivnyy-grazhdanin-poluchil-glavnuyu-nagradu-v-nominatsii-_proekty-dlya-gosudarstvennykh-struktur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18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Проект Правительства Москвы по запуску и продвижению сервиса городских электронных референдумов стал обладателем престижной премии в сфере связей с общественностью</w:t>
      </w:r>
    </w:p>
    <w:p>
      <w:pPr>
        <w:pStyle w:val="BodyText"/>
      </w:pPr>
      <w:r>
        <w:t xml:space="preserve">Свыше 2 тыс. работ, которые были поданы на рассмотрение в Лондон, оценивали 34 эксперта в области коммуникаций. 19 мая были объявлены победители ежегодной премии SABRE Awards EMEA за высочайшие достижения в области репутационного менеджмента. Главную награду в номинации «Проекты для государственных структур» получило агентство бизнес-коммуникаций PR Inc. с проектом правительства Москвы "Активный гражданин". Проект «Активный гражданин» был запущен в Москве 21 мая 2014 года по поручению Сергея Собянина – для проведения голосований среди жителей Москвы по важным для развития города вопросам. «Активный гражданин» имеет большую популярность и среди пользователей социальных сетей - более 309 тыс. упоминаний. Всего за год работы удалось привлечь в мобильное приложение и сайт ag.mos.ru более 1 миллиона человек. За этот период проведено 580 голосований, свыше 250 решений москвичей уже реализованы. Проект правительства Москвы «Активный Гражданин» не имеет аналогов в мире.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http://filevsky-park.mos.ru/presscenter/news/detail/1879070.html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7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7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2025-03-03T13:32:28Z</dcterms:created>
  <dcterms:modified xsi:type="dcterms:W3CDTF">2025-03-03T13:32:28Z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